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b/>
          <w:spacing w:val="-3"/>
          <w:sz w:val="20"/>
          <w:u w:val="single"/>
        </w:rPr>
      </w:pPr>
      <w:bookmarkStart w:id="0" w:name="_GoBack"/>
      <w:bookmarkEnd w:id="0"/>
      <w:r w:rsidRPr="00D852F4">
        <w:rPr>
          <w:rFonts w:ascii="Arial" w:hAnsi="Arial" w:cs="Arial"/>
          <w:b/>
          <w:spacing w:val="-3"/>
          <w:sz w:val="20"/>
          <w:u w:val="single"/>
        </w:rPr>
        <w:t xml:space="preserve">FINANCIAL ASSISTANCE POLICY </w:t>
      </w:r>
      <w:r>
        <w:rPr>
          <w:rFonts w:ascii="Arial" w:hAnsi="Arial" w:cs="Arial"/>
          <w:b/>
          <w:spacing w:val="-3"/>
          <w:sz w:val="20"/>
          <w:u w:val="single"/>
        </w:rPr>
        <w:t>APPENDIX</w:t>
      </w:r>
      <w:r w:rsidRPr="00D852F4">
        <w:rPr>
          <w:rFonts w:ascii="Arial" w:hAnsi="Arial" w:cs="Arial"/>
          <w:b/>
          <w:spacing w:val="-3"/>
          <w:sz w:val="20"/>
          <w:u w:val="single"/>
        </w:rPr>
        <w:t xml:space="preserve"> A – LIST OF PROVIDERS</w:t>
      </w:r>
    </w:p>
    <w:p w:rsidR="009A2C61" w:rsidRPr="00D852F4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b/>
          <w:spacing w:val="-3"/>
          <w:sz w:val="20"/>
          <w:u w:val="single"/>
        </w:rPr>
      </w:pPr>
      <w:r>
        <w:rPr>
          <w:rFonts w:ascii="Arial" w:hAnsi="Arial" w:cs="Arial"/>
          <w:b/>
          <w:spacing w:val="-3"/>
          <w:sz w:val="20"/>
          <w:u w:val="single"/>
        </w:rPr>
        <w:t xml:space="preserve">Updated </w:t>
      </w:r>
      <w:r w:rsidR="009C0F5A">
        <w:rPr>
          <w:rFonts w:ascii="Arial" w:hAnsi="Arial" w:cs="Arial"/>
          <w:b/>
          <w:spacing w:val="-3"/>
          <w:sz w:val="20"/>
          <w:u w:val="single"/>
        </w:rPr>
        <w:t>12-21-16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rPr>
          <w:rFonts w:ascii="Arial" w:hAnsi="Arial" w:cs="Arial"/>
          <w:spacing w:val="-3"/>
          <w:sz w:val="20"/>
        </w:rPr>
      </w:pP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</w:p>
    <w:p w:rsidR="009A2C61" w:rsidRPr="00D852F4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b/>
          <w:spacing w:val="-3"/>
          <w:sz w:val="20"/>
        </w:rPr>
      </w:pPr>
      <w:r w:rsidRPr="00D852F4">
        <w:rPr>
          <w:rFonts w:ascii="Arial" w:hAnsi="Arial" w:cs="Arial"/>
          <w:b/>
          <w:spacing w:val="-3"/>
          <w:sz w:val="20"/>
        </w:rPr>
        <w:t>These providers are covered by the Financial Assistance Policy: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 w:rsidRPr="00473566">
        <w:rPr>
          <w:rFonts w:ascii="Arial" w:hAnsi="Arial" w:cs="Arial"/>
          <w:spacing w:val="-3"/>
          <w:sz w:val="20"/>
        </w:rPr>
        <w:t>All Warren Medical Group Physicians and Non-physician Practitioners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 w:rsidRPr="00473566">
        <w:rPr>
          <w:rFonts w:ascii="Arial" w:hAnsi="Arial" w:cs="Arial"/>
          <w:spacing w:val="-3"/>
          <w:sz w:val="20"/>
        </w:rPr>
        <w:t>All practitioners at the WGH Cancer Care Center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All anesthesiologists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Dale McNett, M.D.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Timothy Stanton, MD – as Director of Cardiology only</w:t>
      </w:r>
    </w:p>
    <w:p w:rsidR="009A2C61" w:rsidRPr="00D852F4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 w:rsidRPr="00D852F4">
        <w:rPr>
          <w:rFonts w:ascii="Arial" w:hAnsi="Arial" w:cs="Arial"/>
          <w:spacing w:val="-3"/>
          <w:sz w:val="20"/>
        </w:rPr>
        <w:t>Theodore Rockwell D.M.D.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John Lundquist, D.D.S.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</w:p>
    <w:p w:rsidR="009A2C61" w:rsidRPr="00D852F4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b/>
          <w:spacing w:val="-3"/>
          <w:sz w:val="20"/>
        </w:rPr>
      </w:pPr>
      <w:r w:rsidRPr="00D852F4">
        <w:rPr>
          <w:rFonts w:ascii="Arial" w:hAnsi="Arial" w:cs="Arial"/>
          <w:b/>
          <w:spacing w:val="-3"/>
          <w:sz w:val="20"/>
        </w:rPr>
        <w:t>These providers are NOT covered by the Financial Assistance Policy: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Hospitalists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Radiologists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Pathologists</w:t>
      </w:r>
    </w:p>
    <w:p w:rsidR="00647673" w:rsidRDefault="00647673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Obstetricians and Gynecologists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Emergency Care Center Physicians</w:t>
      </w:r>
      <w:r w:rsidR="00647673">
        <w:rPr>
          <w:rFonts w:ascii="Arial" w:hAnsi="Arial" w:cs="Arial"/>
          <w:spacing w:val="-3"/>
          <w:sz w:val="20"/>
        </w:rPr>
        <w:t xml:space="preserve"> and Non-physician Practitioners</w:t>
      </w:r>
      <w:r>
        <w:rPr>
          <w:rFonts w:ascii="Arial" w:hAnsi="Arial" w:cs="Arial"/>
          <w:spacing w:val="-3"/>
          <w:sz w:val="20"/>
        </w:rPr>
        <w:t xml:space="preserve"> </w:t>
      </w:r>
    </w:p>
    <w:p w:rsidR="009A2C61" w:rsidRDefault="009A2C61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Behavioral Health Unit Physicians</w:t>
      </w:r>
    </w:p>
    <w:p w:rsidR="009C0F5A" w:rsidRDefault="009C0F5A" w:rsidP="009A2C61">
      <w:pPr>
        <w:tabs>
          <w:tab w:val="left" w:pos="12330"/>
        </w:tabs>
        <w:suppressAutoHyphens/>
        <w:ind w:left="27" w:right="-18" w:firstLine="18"/>
        <w:jc w:val="center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All Other Physicians who are not employed by Warren Medical Group</w:t>
      </w:r>
    </w:p>
    <w:p w:rsidR="00FE364D" w:rsidRDefault="00FE364D"/>
    <w:sectPr w:rsidR="00FE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8"/>
    <w:rsid w:val="00341F5F"/>
    <w:rsid w:val="00373EF2"/>
    <w:rsid w:val="00447A72"/>
    <w:rsid w:val="005E5763"/>
    <w:rsid w:val="00647673"/>
    <w:rsid w:val="009A2C61"/>
    <w:rsid w:val="009C0F5A"/>
    <w:rsid w:val="00AB1CE4"/>
    <w:rsid w:val="00CA7D98"/>
    <w:rsid w:val="00D147D8"/>
    <w:rsid w:val="00D91D20"/>
    <w:rsid w:val="00E62076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61"/>
    <w:pPr>
      <w:widowControl w:val="0"/>
    </w:pPr>
    <w:rPr>
      <w:rFonts w:ascii="Courier New" w:eastAsia="Times New Roman" w:hAnsi="Courier New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EF2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EF2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EF2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EF2"/>
    <w:pPr>
      <w:keepNext/>
      <w:widowControl/>
      <w:spacing w:before="240" w:after="60"/>
      <w:outlineLvl w:val="3"/>
    </w:pPr>
    <w:rPr>
      <w:rFonts w:ascii="Times New Roman" w:eastAsiaTheme="minorHAnsi" w:hAnsi="Times New Roman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EF2"/>
    <w:pPr>
      <w:widowControl/>
      <w:spacing w:before="240" w:after="60"/>
      <w:outlineLvl w:val="4"/>
    </w:pPr>
    <w:rPr>
      <w:rFonts w:ascii="Times New Roman" w:eastAsiaTheme="minorHAnsi" w:hAnsi="Times New Roman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EF2"/>
    <w:pPr>
      <w:widowControl/>
      <w:spacing w:before="240" w:after="60"/>
      <w:outlineLvl w:val="5"/>
    </w:pPr>
    <w:rPr>
      <w:rFonts w:ascii="Times New Roman" w:eastAsiaTheme="minorHAnsi" w:hAnsi="Times New Roman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EF2"/>
    <w:pPr>
      <w:widowControl/>
      <w:spacing w:before="240" w:after="60"/>
      <w:outlineLvl w:val="6"/>
    </w:pPr>
    <w:rPr>
      <w:rFonts w:ascii="Times New Roman" w:eastAsiaTheme="minorHAnsi" w:hAnsi="Times New Roman"/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EF2"/>
    <w:pPr>
      <w:widowControl/>
      <w:spacing w:before="240" w:after="60"/>
      <w:outlineLvl w:val="7"/>
    </w:pPr>
    <w:rPr>
      <w:rFonts w:ascii="Times New Roman" w:eastAsiaTheme="minorHAnsi" w:hAnsi="Times New Roman"/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EF2"/>
    <w:pPr>
      <w:widowControl/>
      <w:spacing w:before="240" w:after="60"/>
      <w:outlineLvl w:val="8"/>
    </w:pPr>
    <w:rPr>
      <w:rFonts w:asciiTheme="majorHAnsi" w:eastAsiaTheme="majorEastAsia" w:hAnsiTheme="majorHAns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E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E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E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E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3EF2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3E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EF2"/>
    <w:pPr>
      <w:widowControl/>
      <w:spacing w:after="60"/>
      <w:jc w:val="center"/>
      <w:outlineLvl w:val="1"/>
    </w:pPr>
    <w:rPr>
      <w:rFonts w:asciiTheme="majorHAnsi" w:eastAsiaTheme="majorEastAsia" w:hAnsiTheme="majorHAns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E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3EF2"/>
    <w:rPr>
      <w:b/>
      <w:bCs/>
    </w:rPr>
  </w:style>
  <w:style w:type="character" w:styleId="Emphasis">
    <w:name w:val="Emphasis"/>
    <w:basedOn w:val="DefaultParagraphFont"/>
    <w:uiPriority w:val="20"/>
    <w:qFormat/>
    <w:rsid w:val="00373E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3EF2"/>
    <w:pPr>
      <w:widowControl/>
    </w:pPr>
    <w:rPr>
      <w:rFonts w:ascii="Times New Roman" w:eastAsiaTheme="minorHAnsi" w:hAnsi="Times New Roman"/>
      <w:snapToGrid/>
      <w:szCs w:val="32"/>
    </w:rPr>
  </w:style>
  <w:style w:type="paragraph" w:styleId="ListParagraph">
    <w:name w:val="List Paragraph"/>
    <w:basedOn w:val="Normal"/>
    <w:uiPriority w:val="34"/>
    <w:qFormat/>
    <w:rsid w:val="00373EF2"/>
    <w:pPr>
      <w:widowControl/>
      <w:ind w:left="720"/>
      <w:contextualSpacing/>
    </w:pPr>
    <w:rPr>
      <w:rFonts w:ascii="Times New Roman" w:eastAsiaTheme="minorHAnsi" w:hAnsi="Times New Roman"/>
      <w:snapToGrid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73EF2"/>
    <w:pPr>
      <w:widowControl/>
    </w:pPr>
    <w:rPr>
      <w:rFonts w:ascii="Times New Roman" w:eastAsiaTheme="minorHAnsi" w:hAnsi="Times New Roman"/>
      <w:i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3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EF2"/>
    <w:pPr>
      <w:widowControl/>
      <w:ind w:left="720" w:right="720"/>
    </w:pPr>
    <w:rPr>
      <w:rFonts w:ascii="Times New Roman" w:eastAsiaTheme="minorHAnsi" w:hAnsi="Times New Roman"/>
      <w:b/>
      <w:i/>
      <w:snapToGrid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EF2"/>
    <w:rPr>
      <w:b/>
      <w:i/>
      <w:sz w:val="24"/>
    </w:rPr>
  </w:style>
  <w:style w:type="character" w:styleId="SubtleEmphasis">
    <w:name w:val="Subtle Emphasis"/>
    <w:uiPriority w:val="19"/>
    <w:qFormat/>
    <w:rsid w:val="00373E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3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3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3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3E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E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61"/>
    <w:pPr>
      <w:widowControl w:val="0"/>
    </w:pPr>
    <w:rPr>
      <w:rFonts w:ascii="Courier New" w:eastAsia="Times New Roman" w:hAnsi="Courier New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EF2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snapToGrid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EF2"/>
    <w:pPr>
      <w:keepNext/>
      <w:widowControl/>
      <w:spacing w:before="240" w:after="60"/>
      <w:outlineLvl w:val="1"/>
    </w:pPr>
    <w:rPr>
      <w:rFonts w:asciiTheme="majorHAnsi" w:eastAsiaTheme="majorEastAsia" w:hAnsiTheme="majorHAns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EF2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EF2"/>
    <w:pPr>
      <w:keepNext/>
      <w:widowControl/>
      <w:spacing w:before="240" w:after="60"/>
      <w:outlineLvl w:val="3"/>
    </w:pPr>
    <w:rPr>
      <w:rFonts w:ascii="Times New Roman" w:eastAsiaTheme="minorHAnsi" w:hAnsi="Times New Roman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EF2"/>
    <w:pPr>
      <w:widowControl/>
      <w:spacing w:before="240" w:after="60"/>
      <w:outlineLvl w:val="4"/>
    </w:pPr>
    <w:rPr>
      <w:rFonts w:ascii="Times New Roman" w:eastAsiaTheme="minorHAnsi" w:hAnsi="Times New Roman"/>
      <w:b/>
      <w:bCs/>
      <w:i/>
      <w:iCs/>
      <w:snapToGrid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EF2"/>
    <w:pPr>
      <w:widowControl/>
      <w:spacing w:before="240" w:after="60"/>
      <w:outlineLvl w:val="5"/>
    </w:pPr>
    <w:rPr>
      <w:rFonts w:ascii="Times New Roman" w:eastAsiaTheme="minorHAnsi" w:hAnsi="Times New Roman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EF2"/>
    <w:pPr>
      <w:widowControl/>
      <w:spacing w:before="240" w:after="60"/>
      <w:outlineLvl w:val="6"/>
    </w:pPr>
    <w:rPr>
      <w:rFonts w:ascii="Times New Roman" w:eastAsiaTheme="minorHAnsi" w:hAnsi="Times New Roman"/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EF2"/>
    <w:pPr>
      <w:widowControl/>
      <w:spacing w:before="240" w:after="60"/>
      <w:outlineLvl w:val="7"/>
    </w:pPr>
    <w:rPr>
      <w:rFonts w:ascii="Times New Roman" w:eastAsiaTheme="minorHAnsi" w:hAnsi="Times New Roman"/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EF2"/>
    <w:pPr>
      <w:widowControl/>
      <w:spacing w:before="240" w:after="60"/>
      <w:outlineLvl w:val="8"/>
    </w:pPr>
    <w:rPr>
      <w:rFonts w:asciiTheme="majorHAnsi" w:eastAsiaTheme="majorEastAsia" w:hAnsiTheme="majorHAns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E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E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E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E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3EF2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3E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EF2"/>
    <w:pPr>
      <w:widowControl/>
      <w:spacing w:after="60"/>
      <w:jc w:val="center"/>
      <w:outlineLvl w:val="1"/>
    </w:pPr>
    <w:rPr>
      <w:rFonts w:asciiTheme="majorHAnsi" w:eastAsiaTheme="majorEastAsia" w:hAnsiTheme="majorHAns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E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3EF2"/>
    <w:rPr>
      <w:b/>
      <w:bCs/>
    </w:rPr>
  </w:style>
  <w:style w:type="character" w:styleId="Emphasis">
    <w:name w:val="Emphasis"/>
    <w:basedOn w:val="DefaultParagraphFont"/>
    <w:uiPriority w:val="20"/>
    <w:qFormat/>
    <w:rsid w:val="00373E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3EF2"/>
    <w:pPr>
      <w:widowControl/>
    </w:pPr>
    <w:rPr>
      <w:rFonts w:ascii="Times New Roman" w:eastAsiaTheme="minorHAnsi" w:hAnsi="Times New Roman"/>
      <w:snapToGrid/>
      <w:szCs w:val="32"/>
    </w:rPr>
  </w:style>
  <w:style w:type="paragraph" w:styleId="ListParagraph">
    <w:name w:val="List Paragraph"/>
    <w:basedOn w:val="Normal"/>
    <w:uiPriority w:val="34"/>
    <w:qFormat/>
    <w:rsid w:val="00373EF2"/>
    <w:pPr>
      <w:widowControl/>
      <w:ind w:left="720"/>
      <w:contextualSpacing/>
    </w:pPr>
    <w:rPr>
      <w:rFonts w:ascii="Times New Roman" w:eastAsiaTheme="minorHAnsi" w:hAnsi="Times New Roman"/>
      <w:snapToGrid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73EF2"/>
    <w:pPr>
      <w:widowControl/>
    </w:pPr>
    <w:rPr>
      <w:rFonts w:ascii="Times New Roman" w:eastAsiaTheme="minorHAnsi" w:hAnsi="Times New Roman"/>
      <w:i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3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EF2"/>
    <w:pPr>
      <w:widowControl/>
      <w:ind w:left="720" w:right="720"/>
    </w:pPr>
    <w:rPr>
      <w:rFonts w:ascii="Times New Roman" w:eastAsiaTheme="minorHAnsi" w:hAnsi="Times New Roman"/>
      <w:b/>
      <w:i/>
      <w:snapToGrid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EF2"/>
    <w:rPr>
      <w:b/>
      <w:i/>
      <w:sz w:val="24"/>
    </w:rPr>
  </w:style>
  <w:style w:type="character" w:styleId="SubtleEmphasis">
    <w:name w:val="Subtle Emphasis"/>
    <w:uiPriority w:val="19"/>
    <w:qFormat/>
    <w:rsid w:val="00373E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3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3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3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3E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E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Bevevino, Jodi</dc:creator>
  <cp:lastModifiedBy>Jacobs, Julie</cp:lastModifiedBy>
  <cp:revision>2</cp:revision>
  <dcterms:created xsi:type="dcterms:W3CDTF">2017-05-03T18:41:00Z</dcterms:created>
  <dcterms:modified xsi:type="dcterms:W3CDTF">2017-05-03T18:41:00Z</dcterms:modified>
</cp:coreProperties>
</file>